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bookmarkStart w:id="0" w:name="_GoBack"/>
                            <w:bookmarkEnd w:id="0"/>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15DCF">
              <w:rPr>
                <w:rFonts w:ascii="ＭＳ ゴシック" w:hAnsi="ＭＳ ゴシック" w:hint="eastAsia"/>
                <w:kern w:val="2"/>
                <w:sz w:val="21"/>
                <w:szCs w:val="21"/>
              </w:rPr>
              <w:t>大島地区消防組合</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DF" w:rsidRDefault="001C44DF" w:rsidP="00EA487A">
      <w:r>
        <w:separator/>
      </w:r>
    </w:p>
  </w:endnote>
  <w:endnote w:type="continuationSeparator" w:id="0">
    <w:p w:rsidR="001C44DF" w:rsidRDefault="001C44D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DF" w:rsidRDefault="001C44DF" w:rsidP="00EA487A">
      <w:r>
        <w:separator/>
      </w:r>
    </w:p>
  </w:footnote>
  <w:footnote w:type="continuationSeparator" w:id="0">
    <w:p w:rsidR="001C44DF" w:rsidRDefault="001C44D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C44DF"/>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15DCF"/>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2532D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ohshimashoubou002</cp:lastModifiedBy>
  <cp:revision>44</cp:revision>
  <cp:lastPrinted>2022-08-01T10:07:00Z</cp:lastPrinted>
  <dcterms:created xsi:type="dcterms:W3CDTF">2022-06-23T13:06:00Z</dcterms:created>
  <dcterms:modified xsi:type="dcterms:W3CDTF">2023-08-09T06:09:00Z</dcterms:modified>
</cp:coreProperties>
</file>